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EF8E" w14:textId="5002C5A8"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6A0057">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F01C4">
        <w:rPr>
          <w:rFonts w:cs="Arial"/>
          <w:b/>
          <w:noProof/>
          <w:sz w:val="24"/>
        </w:rPr>
        <w:t>4203</w:t>
      </w:r>
    </w:p>
    <w:p w14:paraId="56B3F326" w14:textId="47CC18F0" w:rsidR="00423C56" w:rsidRPr="009F2047" w:rsidRDefault="006A0057"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0163</w:t>
      </w:r>
      <w:r>
        <w:rPr>
          <w:rFonts w:cs="Arial"/>
          <w:b/>
          <w:i/>
          <w:iCs/>
          <w:noProof/>
          <w:color w:val="0000FF"/>
          <w:szCs w:val="16"/>
        </w:rPr>
        <w:t>, S2-2302935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9E750" w14:textId="77777777" w:rsidTr="002A7D5D">
        <w:tc>
          <w:tcPr>
            <w:tcW w:w="9641" w:type="dxa"/>
            <w:gridSpan w:val="9"/>
            <w:tcBorders>
              <w:top w:val="single" w:sz="4" w:space="0" w:color="auto"/>
              <w:left w:val="single" w:sz="4" w:space="0" w:color="auto"/>
              <w:right w:val="single" w:sz="4" w:space="0" w:color="auto"/>
            </w:tcBorders>
          </w:tcPr>
          <w:p w14:paraId="5083ED7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08697D" w14:textId="77777777" w:rsidTr="002A7D5D">
        <w:tc>
          <w:tcPr>
            <w:tcW w:w="9641" w:type="dxa"/>
            <w:gridSpan w:val="9"/>
            <w:tcBorders>
              <w:left w:val="single" w:sz="4" w:space="0" w:color="auto"/>
              <w:right w:val="single" w:sz="4" w:space="0" w:color="auto"/>
            </w:tcBorders>
          </w:tcPr>
          <w:p w14:paraId="786BD64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487FE06" w14:textId="77777777" w:rsidTr="002A7D5D">
        <w:tc>
          <w:tcPr>
            <w:tcW w:w="9641" w:type="dxa"/>
            <w:gridSpan w:val="9"/>
            <w:tcBorders>
              <w:left w:val="single" w:sz="4" w:space="0" w:color="auto"/>
              <w:right w:val="single" w:sz="4" w:space="0" w:color="auto"/>
            </w:tcBorders>
          </w:tcPr>
          <w:p w14:paraId="49C3B873" w14:textId="77777777" w:rsidR="00D54FA1" w:rsidRPr="00D54FA1" w:rsidRDefault="00D54FA1" w:rsidP="00D54FA1">
            <w:pPr>
              <w:spacing w:after="0"/>
              <w:rPr>
                <w:rFonts w:ascii="Arial" w:hAnsi="Arial" w:cs="Arial"/>
                <w:noProof/>
                <w:sz w:val="8"/>
                <w:szCs w:val="8"/>
                <w:lang w:val="en-US"/>
              </w:rPr>
            </w:pPr>
          </w:p>
        </w:tc>
      </w:tr>
      <w:tr w:rsidR="00D54FA1" w:rsidRPr="00D54FA1" w14:paraId="580DA4BB" w14:textId="77777777" w:rsidTr="002A7D5D">
        <w:tc>
          <w:tcPr>
            <w:tcW w:w="142" w:type="dxa"/>
            <w:tcBorders>
              <w:left w:val="single" w:sz="4" w:space="0" w:color="auto"/>
            </w:tcBorders>
          </w:tcPr>
          <w:p w14:paraId="20291BC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41A5A0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61FDCB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0868664" w14:textId="77777777"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3677</w:t>
            </w:r>
          </w:p>
        </w:tc>
        <w:tc>
          <w:tcPr>
            <w:tcW w:w="709" w:type="dxa"/>
          </w:tcPr>
          <w:p w14:paraId="23DE84F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AA0D5DF" w14:textId="7DF7FF5A" w:rsidR="00D54FA1" w:rsidRPr="00EC4922" w:rsidRDefault="006A005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77399E6E"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7FDAAB" w14:textId="0DAC58E0" w:rsidR="00D54FA1" w:rsidRPr="0098423D" w:rsidRDefault="0098423D" w:rsidP="00D54FA1">
            <w:pPr>
              <w:spacing w:after="0"/>
              <w:jc w:val="center"/>
              <w:rPr>
                <w:rFonts w:ascii="Arial" w:hAnsi="Arial" w:cs="Arial"/>
                <w:b/>
                <w:bCs/>
                <w:noProof/>
                <w:sz w:val="28"/>
                <w:lang w:val="en-US"/>
              </w:rPr>
            </w:pPr>
            <w:r w:rsidRPr="0098423D">
              <w:rPr>
                <w:rFonts w:ascii="Arial" w:hAnsi="Arial" w:cs="Arial"/>
                <w:b/>
                <w:bCs/>
                <w:noProof/>
                <w:sz w:val="28"/>
                <w:lang w:val="en-US"/>
              </w:rPr>
              <w:t>17.</w:t>
            </w:r>
            <w:r w:rsidR="006A0057">
              <w:rPr>
                <w:rFonts w:ascii="Arial" w:hAnsi="Arial" w:cs="Arial"/>
                <w:b/>
                <w:bCs/>
                <w:noProof/>
                <w:sz w:val="28"/>
                <w:lang w:val="en-US"/>
              </w:rPr>
              <w:t>8</w:t>
            </w:r>
            <w:r w:rsidRPr="0098423D">
              <w:rPr>
                <w:rFonts w:ascii="Arial" w:hAnsi="Arial" w:cs="Arial"/>
                <w:b/>
                <w:bCs/>
                <w:noProof/>
                <w:sz w:val="28"/>
                <w:lang w:val="en-US"/>
              </w:rPr>
              <w:t>.0</w:t>
            </w:r>
          </w:p>
        </w:tc>
        <w:tc>
          <w:tcPr>
            <w:tcW w:w="143" w:type="dxa"/>
            <w:tcBorders>
              <w:right w:val="single" w:sz="4" w:space="0" w:color="auto"/>
            </w:tcBorders>
          </w:tcPr>
          <w:p w14:paraId="5BF4C3F0" w14:textId="77777777" w:rsidR="00D54FA1" w:rsidRPr="00D54FA1" w:rsidRDefault="00D54FA1" w:rsidP="00D54FA1">
            <w:pPr>
              <w:spacing w:after="0"/>
              <w:rPr>
                <w:rFonts w:ascii="Arial" w:hAnsi="Arial" w:cs="Arial"/>
                <w:noProof/>
                <w:lang w:val="en-US"/>
              </w:rPr>
            </w:pPr>
          </w:p>
        </w:tc>
      </w:tr>
      <w:tr w:rsidR="00D54FA1" w:rsidRPr="00D54FA1" w14:paraId="19B9722F" w14:textId="77777777" w:rsidTr="002A7D5D">
        <w:tc>
          <w:tcPr>
            <w:tcW w:w="9641" w:type="dxa"/>
            <w:gridSpan w:val="9"/>
            <w:tcBorders>
              <w:left w:val="single" w:sz="4" w:space="0" w:color="auto"/>
              <w:right w:val="single" w:sz="4" w:space="0" w:color="auto"/>
            </w:tcBorders>
          </w:tcPr>
          <w:p w14:paraId="1E756BE8" w14:textId="77777777" w:rsidR="00D54FA1" w:rsidRPr="00D54FA1" w:rsidRDefault="00D54FA1" w:rsidP="00D54FA1">
            <w:pPr>
              <w:spacing w:after="0"/>
              <w:rPr>
                <w:rFonts w:ascii="Arial" w:hAnsi="Arial" w:cs="Arial"/>
                <w:noProof/>
                <w:lang w:val="en-US"/>
              </w:rPr>
            </w:pPr>
          </w:p>
        </w:tc>
      </w:tr>
      <w:tr w:rsidR="00D54FA1" w:rsidRPr="00D54FA1" w14:paraId="0AD0492E" w14:textId="77777777" w:rsidTr="002A7D5D">
        <w:tc>
          <w:tcPr>
            <w:tcW w:w="9641" w:type="dxa"/>
            <w:gridSpan w:val="9"/>
            <w:tcBorders>
              <w:top w:val="single" w:sz="4" w:space="0" w:color="auto"/>
            </w:tcBorders>
          </w:tcPr>
          <w:p w14:paraId="7A5E32D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5C2FA02" w14:textId="77777777" w:rsidTr="002A7D5D">
        <w:tc>
          <w:tcPr>
            <w:tcW w:w="9641" w:type="dxa"/>
            <w:gridSpan w:val="9"/>
          </w:tcPr>
          <w:p w14:paraId="739427AC" w14:textId="77777777" w:rsidR="00D54FA1" w:rsidRPr="00D54FA1" w:rsidRDefault="00D54FA1" w:rsidP="00D54FA1">
            <w:pPr>
              <w:spacing w:after="0"/>
              <w:rPr>
                <w:rFonts w:ascii="Arial" w:hAnsi="Arial" w:cs="Arial"/>
                <w:noProof/>
                <w:sz w:val="8"/>
                <w:szCs w:val="8"/>
              </w:rPr>
            </w:pPr>
          </w:p>
        </w:tc>
      </w:tr>
    </w:tbl>
    <w:p w14:paraId="73FDD067"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EBFD5E8" w14:textId="77777777" w:rsidTr="002A7D5D">
        <w:tc>
          <w:tcPr>
            <w:tcW w:w="2835" w:type="dxa"/>
          </w:tcPr>
          <w:p w14:paraId="6B30E9A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E810E7A"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5319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01B59F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683AF"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606CAA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87E9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E3C791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E16DD" w14:textId="77777777" w:rsidR="00D54FA1" w:rsidRPr="00D54FA1" w:rsidRDefault="00D54FA1" w:rsidP="00D54FA1">
            <w:pPr>
              <w:spacing w:after="0"/>
              <w:jc w:val="center"/>
              <w:rPr>
                <w:rFonts w:ascii="Arial" w:hAnsi="Arial" w:cs="Arial"/>
                <w:b/>
                <w:bCs/>
                <w:caps/>
                <w:noProof/>
                <w:lang w:val="en-US"/>
              </w:rPr>
            </w:pPr>
          </w:p>
        </w:tc>
      </w:tr>
    </w:tbl>
    <w:p w14:paraId="107DF2E9"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C208F30" w14:textId="77777777" w:rsidTr="00C6677F">
        <w:tc>
          <w:tcPr>
            <w:tcW w:w="9640" w:type="dxa"/>
            <w:gridSpan w:val="11"/>
          </w:tcPr>
          <w:p w14:paraId="4ADC9A84" w14:textId="77777777" w:rsidR="00D54FA1" w:rsidRPr="00D54FA1" w:rsidRDefault="00D54FA1" w:rsidP="00D54FA1">
            <w:pPr>
              <w:spacing w:after="0"/>
              <w:rPr>
                <w:rFonts w:ascii="Arial" w:hAnsi="Arial" w:cs="Arial"/>
                <w:noProof/>
                <w:sz w:val="8"/>
                <w:szCs w:val="8"/>
                <w:lang w:val="en-US"/>
              </w:rPr>
            </w:pPr>
          </w:p>
        </w:tc>
      </w:tr>
      <w:tr w:rsidR="00D54FA1" w:rsidRPr="00D54FA1" w14:paraId="189F3D27" w14:textId="77777777" w:rsidTr="00C6677F">
        <w:tc>
          <w:tcPr>
            <w:tcW w:w="1843" w:type="dxa"/>
            <w:tcBorders>
              <w:top w:val="single" w:sz="4" w:space="0" w:color="auto"/>
              <w:left w:val="single" w:sz="4" w:space="0" w:color="auto"/>
            </w:tcBorders>
          </w:tcPr>
          <w:p w14:paraId="5821DC5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60E960D"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29DE1C1E" w14:textId="77777777" w:rsidTr="00C6677F">
        <w:tc>
          <w:tcPr>
            <w:tcW w:w="1843" w:type="dxa"/>
            <w:tcBorders>
              <w:left w:val="single" w:sz="4" w:space="0" w:color="auto"/>
            </w:tcBorders>
          </w:tcPr>
          <w:p w14:paraId="2FF9BF23"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265D83" w14:textId="77777777" w:rsidR="00D54FA1" w:rsidRPr="00D54FA1" w:rsidRDefault="00D54FA1" w:rsidP="00D54FA1">
            <w:pPr>
              <w:spacing w:after="0"/>
              <w:rPr>
                <w:rFonts w:ascii="Arial" w:hAnsi="Arial" w:cs="Arial"/>
                <w:noProof/>
                <w:sz w:val="8"/>
                <w:szCs w:val="8"/>
              </w:rPr>
            </w:pPr>
          </w:p>
        </w:tc>
      </w:tr>
      <w:tr w:rsidR="00D54FA1" w:rsidRPr="00D54FA1" w14:paraId="6D43F4A8" w14:textId="77777777" w:rsidTr="00C6677F">
        <w:tc>
          <w:tcPr>
            <w:tcW w:w="1843" w:type="dxa"/>
            <w:tcBorders>
              <w:left w:val="single" w:sz="4" w:space="0" w:color="auto"/>
            </w:tcBorders>
          </w:tcPr>
          <w:p w14:paraId="48E9873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1F4F410"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5AE23C2" w14:textId="77777777" w:rsidTr="00C6677F">
        <w:tc>
          <w:tcPr>
            <w:tcW w:w="1843" w:type="dxa"/>
            <w:tcBorders>
              <w:left w:val="single" w:sz="4" w:space="0" w:color="auto"/>
            </w:tcBorders>
          </w:tcPr>
          <w:p w14:paraId="630DD1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43D7B41"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362DFD" w14:textId="77777777" w:rsidTr="00C6677F">
        <w:tc>
          <w:tcPr>
            <w:tcW w:w="1843" w:type="dxa"/>
            <w:tcBorders>
              <w:left w:val="single" w:sz="4" w:space="0" w:color="auto"/>
            </w:tcBorders>
          </w:tcPr>
          <w:p w14:paraId="649EBDB0"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8DFFE93" w14:textId="77777777" w:rsidR="00D54FA1" w:rsidRPr="00D54FA1" w:rsidRDefault="00D54FA1" w:rsidP="00D54FA1">
            <w:pPr>
              <w:spacing w:after="0"/>
              <w:rPr>
                <w:rFonts w:ascii="Arial" w:hAnsi="Arial" w:cs="Arial"/>
                <w:noProof/>
                <w:sz w:val="8"/>
                <w:szCs w:val="8"/>
                <w:lang w:val="en-US"/>
              </w:rPr>
            </w:pPr>
          </w:p>
        </w:tc>
      </w:tr>
      <w:tr w:rsidR="00D54FA1" w:rsidRPr="00D54FA1" w14:paraId="2580CB34" w14:textId="77777777" w:rsidTr="00C6677F">
        <w:tc>
          <w:tcPr>
            <w:tcW w:w="1843" w:type="dxa"/>
            <w:tcBorders>
              <w:left w:val="single" w:sz="4" w:space="0" w:color="auto"/>
            </w:tcBorders>
          </w:tcPr>
          <w:p w14:paraId="2D8EFB8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555CB6"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22D2A21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5A0018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6756FB" w14:textId="6F72602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A0057">
              <w:rPr>
                <w:rFonts w:ascii="Arial" w:hAnsi="Arial" w:cs="Arial"/>
                <w:lang w:val="en-US"/>
              </w:rPr>
              <w:t>4-17</w:t>
            </w:r>
          </w:p>
        </w:tc>
      </w:tr>
      <w:tr w:rsidR="00D54FA1" w:rsidRPr="00D54FA1" w14:paraId="0C98A36D" w14:textId="77777777" w:rsidTr="00C6677F">
        <w:tc>
          <w:tcPr>
            <w:tcW w:w="1843" w:type="dxa"/>
            <w:tcBorders>
              <w:left w:val="single" w:sz="4" w:space="0" w:color="auto"/>
            </w:tcBorders>
          </w:tcPr>
          <w:p w14:paraId="590052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C6C8C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B4C30B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4F687D1"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0C54FF0" w14:textId="77777777" w:rsidR="00D54FA1" w:rsidRPr="00D54FA1" w:rsidRDefault="00D54FA1" w:rsidP="00D54FA1">
            <w:pPr>
              <w:spacing w:after="0"/>
              <w:rPr>
                <w:rFonts w:ascii="Arial" w:hAnsi="Arial" w:cs="Arial"/>
                <w:noProof/>
                <w:sz w:val="8"/>
                <w:szCs w:val="8"/>
                <w:lang w:val="en-US"/>
              </w:rPr>
            </w:pPr>
          </w:p>
        </w:tc>
      </w:tr>
      <w:tr w:rsidR="00D54FA1" w:rsidRPr="00D54FA1" w14:paraId="5EDD8789" w14:textId="77777777" w:rsidTr="00C6677F">
        <w:trPr>
          <w:cantSplit/>
        </w:trPr>
        <w:tc>
          <w:tcPr>
            <w:tcW w:w="1843" w:type="dxa"/>
            <w:tcBorders>
              <w:left w:val="single" w:sz="4" w:space="0" w:color="auto"/>
            </w:tcBorders>
          </w:tcPr>
          <w:p w14:paraId="56C23C0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485B18E" w14:textId="77777777" w:rsidR="00D54FA1" w:rsidRPr="00D54FA1" w:rsidRDefault="0098423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47F98CB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4B976919"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AA7B52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17</w:t>
            </w:r>
          </w:p>
        </w:tc>
      </w:tr>
      <w:tr w:rsidR="00D54FA1" w:rsidRPr="00D54FA1" w14:paraId="7470DDF6" w14:textId="77777777" w:rsidTr="00C6677F">
        <w:tc>
          <w:tcPr>
            <w:tcW w:w="1843" w:type="dxa"/>
            <w:tcBorders>
              <w:left w:val="single" w:sz="4" w:space="0" w:color="auto"/>
              <w:bottom w:val="single" w:sz="4" w:space="0" w:color="auto"/>
            </w:tcBorders>
          </w:tcPr>
          <w:p w14:paraId="73A581F6"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2F77A97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CADE24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5CE644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9EAEC1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7D7726F0" w14:textId="77777777" w:rsidTr="00C6677F">
        <w:tc>
          <w:tcPr>
            <w:tcW w:w="1843" w:type="dxa"/>
          </w:tcPr>
          <w:p w14:paraId="290026DF"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05E00046" w14:textId="77777777" w:rsidR="00D54FA1" w:rsidRPr="00D54FA1" w:rsidRDefault="00D54FA1" w:rsidP="00D54FA1">
            <w:pPr>
              <w:spacing w:after="0"/>
              <w:rPr>
                <w:rFonts w:ascii="Arial" w:hAnsi="Arial" w:cs="Arial"/>
                <w:noProof/>
                <w:sz w:val="8"/>
                <w:szCs w:val="8"/>
              </w:rPr>
            </w:pPr>
          </w:p>
        </w:tc>
      </w:tr>
      <w:tr w:rsidR="00FB2204" w:rsidRPr="00BC50D6" w14:paraId="6D10D244" w14:textId="77777777" w:rsidTr="00C6677F">
        <w:tc>
          <w:tcPr>
            <w:tcW w:w="2694" w:type="dxa"/>
            <w:gridSpan w:val="2"/>
            <w:tcBorders>
              <w:top w:val="single" w:sz="4" w:space="0" w:color="auto"/>
              <w:left w:val="single" w:sz="4" w:space="0" w:color="auto"/>
            </w:tcBorders>
          </w:tcPr>
          <w:p w14:paraId="5F1DB72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20837A6"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604BA508" w14:textId="77777777" w:rsidR="00EC4922" w:rsidRDefault="00EC4922" w:rsidP="005F251A">
            <w:pPr>
              <w:spacing w:after="0"/>
              <w:ind w:left="54"/>
              <w:rPr>
                <w:rFonts w:ascii="Arial" w:hAnsi="Arial" w:cs="Arial"/>
                <w:noProof/>
                <w:lang w:eastAsia="ko-KR"/>
              </w:rPr>
            </w:pPr>
          </w:p>
          <w:p w14:paraId="510719EB"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analyzed the two options proposed by SA2 for overall specification impacts and functionality impacts. </w:t>
            </w:r>
          </w:p>
          <w:p w14:paraId="187A296F"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eMTC and NB-IoT including both TN and NTN capabilities. </w:t>
            </w:r>
          </w:p>
          <w:p w14:paraId="219451BB"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5210349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52BDA35F"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503167A6" w14:textId="77777777" w:rsidR="009B5390" w:rsidRDefault="009B5390" w:rsidP="005F251A">
            <w:pPr>
              <w:spacing w:after="0"/>
              <w:ind w:left="54"/>
              <w:rPr>
                <w:rFonts w:ascii="Arial" w:hAnsi="Arial" w:cs="Arial"/>
                <w:noProof/>
                <w:lang w:eastAsia="ko-KR"/>
              </w:rPr>
            </w:pPr>
          </w:p>
          <w:p w14:paraId="126239FA" w14:textId="77777777" w:rsidR="009B5390" w:rsidRDefault="009B5390" w:rsidP="009B5390">
            <w:pPr>
              <w:pStyle w:val="CRCoverPage"/>
              <w:spacing w:afterLines="50"/>
              <w:jc w:val="both"/>
            </w:pPr>
            <w:proofErr w:type="gramStart"/>
            <w:r>
              <w:t>For  EUTRA</w:t>
            </w:r>
            <w:proofErr w:type="gramEnd"/>
            <w:r>
              <w:t>, following is specified in TS 36.331.</w:t>
            </w:r>
          </w:p>
          <w:p w14:paraId="5D56EA29"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6A620587" w14:textId="77777777" w:rsidR="00EC4922" w:rsidRDefault="00EC4922" w:rsidP="005F251A">
            <w:pPr>
              <w:spacing w:after="0"/>
              <w:ind w:left="54"/>
              <w:rPr>
                <w:rFonts w:ascii="Arial" w:hAnsi="Arial" w:cs="Arial"/>
                <w:noProof/>
                <w:lang w:eastAsia="ko-KR"/>
              </w:rPr>
            </w:pPr>
          </w:p>
          <w:p w14:paraId="4D7AF5B1"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0130657D" w14:textId="77777777" w:rsidR="00C6677F" w:rsidRDefault="00C6677F" w:rsidP="005F251A">
            <w:pPr>
              <w:spacing w:after="0"/>
              <w:ind w:left="54"/>
              <w:rPr>
                <w:rFonts w:ascii="Arial" w:hAnsi="Arial" w:cs="Arial"/>
                <w:noProof/>
                <w:lang w:eastAsia="ko-KR"/>
              </w:rPr>
            </w:pPr>
          </w:p>
          <w:p w14:paraId="38B22C40"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 UE that supports CE NTN (i.e. NO Cat-M) and can be connected to both EPS and 5GS</w:t>
            </w:r>
          </w:p>
          <w:p w14:paraId="265863CD"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27F97888"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891B0B5" w14:textId="77777777" w:rsidR="00C6677F" w:rsidRDefault="00C6677F" w:rsidP="005F251A">
            <w:pPr>
              <w:spacing w:after="0"/>
              <w:ind w:left="54"/>
              <w:rPr>
                <w:rFonts w:ascii="Arial" w:hAnsi="Arial" w:cs="Arial"/>
                <w:noProof/>
                <w:lang w:eastAsia="ko-KR"/>
              </w:rPr>
            </w:pPr>
          </w:p>
          <w:p w14:paraId="7834C52D" w14:textId="77777777" w:rsidR="009B5390" w:rsidRDefault="009B5390" w:rsidP="009B5390">
            <w:pPr>
              <w:pStyle w:val="CRCoverPage"/>
              <w:spacing w:afterLines="50"/>
              <w:jc w:val="both"/>
            </w:pPr>
            <w:r w:rsidRPr="009B5390">
              <w:rPr>
                <w:i/>
                <w:iCs/>
              </w:rPr>
              <w:t>Something that was not discussed in RAN2</w:t>
            </w:r>
            <w:r>
              <w:t xml:space="preserve"> </w:t>
            </w:r>
            <w:r w:rsidRPr="009B5390">
              <w:rPr>
                <w:i/>
                <w:iCs/>
              </w:rPr>
              <w:t>yet</w:t>
            </w:r>
            <w:r>
              <w:t xml:space="preserve"> is what radio capabilities the UE reports to gNB over NR NTN for E-UTRA. </w:t>
            </w:r>
          </w:p>
          <w:p w14:paraId="1B7D3CBF" w14:textId="77777777" w:rsidR="009B5390" w:rsidRDefault="009B5390" w:rsidP="009B5390">
            <w:pPr>
              <w:pStyle w:val="CRCoverPage"/>
              <w:spacing w:afterLines="50"/>
              <w:jc w:val="both"/>
            </w:pPr>
            <w:r>
              <w:t>It is therefore proposed to follow the same logic as in TS 36.331, that if UE is connected to NR 5GS NTN and network requests UE to send EUTRA capability, the reported UE capability for EUTRA should belong to NTN (</w:t>
            </w:r>
            <w:proofErr w:type="gramStart"/>
            <w:r>
              <w:t>i.e.</w:t>
            </w:r>
            <w:proofErr w:type="gramEnd"/>
            <w:r>
              <w:t xml:space="preserve"> eMTC NTN capabilities) if NTN specific parameters are included (i.e. the UE actually supports eMTC NTN mode)</w:t>
            </w:r>
          </w:p>
          <w:p w14:paraId="2E90265B" w14:textId="77777777" w:rsidR="009B5390" w:rsidRDefault="009B5390" w:rsidP="009B5390">
            <w:pPr>
              <w:pStyle w:val="CRCoverPage"/>
              <w:spacing w:afterLines="50"/>
              <w:jc w:val="both"/>
            </w:pPr>
            <w:r>
              <w:t>If the UE is connected to NR 5GS TN, the reported UE capability for EUTRA belongs to TN.</w:t>
            </w:r>
          </w:p>
          <w:p w14:paraId="6B1C4906" w14:textId="77777777"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372A4E76" w14:textId="77777777" w:rsidR="00BC50D6" w:rsidRPr="0042541A" w:rsidRDefault="00BC50D6" w:rsidP="00FB2204">
            <w:pPr>
              <w:spacing w:after="0"/>
              <w:ind w:left="54"/>
              <w:rPr>
                <w:rFonts w:ascii="Arial" w:hAnsi="Arial" w:cs="Arial"/>
                <w:noProof/>
                <w:lang w:eastAsia="ko-KR"/>
              </w:rPr>
            </w:pPr>
          </w:p>
        </w:tc>
      </w:tr>
      <w:tr w:rsidR="00FB2204" w:rsidRPr="00D54FA1" w14:paraId="0D31FB7B" w14:textId="77777777" w:rsidTr="00C6677F">
        <w:tc>
          <w:tcPr>
            <w:tcW w:w="2694" w:type="dxa"/>
            <w:gridSpan w:val="2"/>
            <w:tcBorders>
              <w:left w:val="single" w:sz="4" w:space="0" w:color="auto"/>
            </w:tcBorders>
          </w:tcPr>
          <w:p w14:paraId="395F6CE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E16024" w14:textId="77777777" w:rsidR="00FB2204" w:rsidRPr="00D54FA1" w:rsidRDefault="00FB2204" w:rsidP="00FB2204">
            <w:pPr>
              <w:spacing w:after="0"/>
              <w:ind w:left="54"/>
              <w:rPr>
                <w:rFonts w:ascii="Arial" w:hAnsi="Arial" w:cs="Arial"/>
                <w:noProof/>
                <w:sz w:val="8"/>
                <w:szCs w:val="8"/>
              </w:rPr>
            </w:pPr>
          </w:p>
        </w:tc>
      </w:tr>
      <w:tr w:rsidR="00FB2204" w:rsidRPr="00D54FA1" w14:paraId="28003E49" w14:textId="77777777" w:rsidTr="00C6677F">
        <w:tc>
          <w:tcPr>
            <w:tcW w:w="2694" w:type="dxa"/>
            <w:gridSpan w:val="2"/>
            <w:tcBorders>
              <w:left w:val="single" w:sz="4" w:space="0" w:color="auto"/>
            </w:tcBorders>
          </w:tcPr>
          <w:p w14:paraId="51894C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B3DAC1B" w14:textId="77777777"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r w:rsidR="00C6677F">
              <w:rPr>
                <w:rFonts w:ascii="Arial" w:hAnsi="Arial" w:cs="Arial"/>
                <w:noProof/>
                <w:lang w:val="en-US" w:eastAsia="zh-CN"/>
              </w:rPr>
              <w:t xml:space="preserve"> and vice versa</w:t>
            </w:r>
            <w:r w:rsidRPr="000B329A">
              <w:rPr>
                <w:rFonts w:ascii="Arial" w:hAnsi="Arial" w:cs="Arial"/>
                <w:noProof/>
                <w:lang w:val="en-US" w:eastAsia="zh-CN"/>
              </w:rPr>
              <w:t xml:space="preserve">. </w:t>
            </w:r>
          </w:p>
        </w:tc>
      </w:tr>
      <w:tr w:rsidR="00FB2204" w:rsidRPr="00D54FA1" w14:paraId="1996F424" w14:textId="77777777" w:rsidTr="00C6677F">
        <w:tc>
          <w:tcPr>
            <w:tcW w:w="2694" w:type="dxa"/>
            <w:gridSpan w:val="2"/>
            <w:tcBorders>
              <w:left w:val="single" w:sz="4" w:space="0" w:color="auto"/>
            </w:tcBorders>
          </w:tcPr>
          <w:p w14:paraId="2C622C0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D3F89D1" w14:textId="77777777" w:rsidR="00FB2204" w:rsidRPr="00D54FA1" w:rsidRDefault="00FB2204" w:rsidP="00FB2204">
            <w:pPr>
              <w:spacing w:after="0"/>
              <w:ind w:left="54"/>
              <w:rPr>
                <w:rFonts w:ascii="Arial" w:hAnsi="Arial" w:cs="Arial"/>
                <w:noProof/>
                <w:sz w:val="8"/>
                <w:szCs w:val="8"/>
              </w:rPr>
            </w:pPr>
          </w:p>
        </w:tc>
      </w:tr>
      <w:tr w:rsidR="00FB2204" w:rsidRPr="00D54FA1" w14:paraId="782F288D" w14:textId="77777777" w:rsidTr="00C6677F">
        <w:tc>
          <w:tcPr>
            <w:tcW w:w="2694" w:type="dxa"/>
            <w:gridSpan w:val="2"/>
            <w:tcBorders>
              <w:left w:val="single" w:sz="4" w:space="0" w:color="auto"/>
              <w:bottom w:val="single" w:sz="4" w:space="0" w:color="auto"/>
            </w:tcBorders>
          </w:tcPr>
          <w:p w14:paraId="4F20BB0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B4E7D8"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37A99256" w14:textId="77777777" w:rsidTr="00C6677F">
        <w:tc>
          <w:tcPr>
            <w:tcW w:w="2694" w:type="dxa"/>
            <w:gridSpan w:val="2"/>
          </w:tcPr>
          <w:p w14:paraId="44339651" w14:textId="77777777" w:rsidR="00D54FA1" w:rsidRPr="00D54FA1" w:rsidRDefault="00D54FA1" w:rsidP="00D54FA1">
            <w:pPr>
              <w:spacing w:after="0"/>
              <w:rPr>
                <w:rFonts w:ascii="Arial" w:hAnsi="Arial" w:cs="Arial"/>
                <w:b/>
                <w:i/>
                <w:noProof/>
                <w:sz w:val="8"/>
                <w:szCs w:val="8"/>
              </w:rPr>
            </w:pPr>
          </w:p>
        </w:tc>
        <w:tc>
          <w:tcPr>
            <w:tcW w:w="6946" w:type="dxa"/>
            <w:gridSpan w:val="9"/>
          </w:tcPr>
          <w:p w14:paraId="0A1A8D40" w14:textId="77777777" w:rsidR="00D54FA1" w:rsidRPr="00D54FA1" w:rsidRDefault="00D54FA1" w:rsidP="00D54FA1">
            <w:pPr>
              <w:spacing w:after="0"/>
              <w:rPr>
                <w:rFonts w:ascii="Arial" w:hAnsi="Arial" w:cs="Arial"/>
                <w:noProof/>
                <w:sz w:val="8"/>
                <w:szCs w:val="8"/>
              </w:rPr>
            </w:pPr>
          </w:p>
        </w:tc>
      </w:tr>
      <w:tr w:rsidR="00D54FA1" w:rsidRPr="00D54FA1" w14:paraId="28D535C6" w14:textId="77777777" w:rsidTr="00C6677F">
        <w:tc>
          <w:tcPr>
            <w:tcW w:w="2694" w:type="dxa"/>
            <w:gridSpan w:val="2"/>
            <w:tcBorders>
              <w:top w:val="single" w:sz="4" w:space="0" w:color="auto"/>
              <w:left w:val="single" w:sz="4" w:space="0" w:color="auto"/>
            </w:tcBorders>
          </w:tcPr>
          <w:p w14:paraId="7F5FCF0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995F498" w14:textId="77777777" w:rsidR="00D54FA1" w:rsidRPr="00D54FA1" w:rsidRDefault="006F0624" w:rsidP="008241CC">
            <w:pPr>
              <w:spacing w:after="0"/>
              <w:ind w:left="54"/>
              <w:rPr>
                <w:rFonts w:ascii="Arial" w:hAnsi="Arial" w:cs="Arial"/>
                <w:noProof/>
                <w:lang w:val="en-US"/>
              </w:rPr>
            </w:pPr>
            <w:r>
              <w:rPr>
                <w:rFonts w:ascii="Arial" w:hAnsi="Arial" w:cs="Arial"/>
                <w:noProof/>
                <w:lang w:val="en-US"/>
              </w:rPr>
              <w:t xml:space="preserve">4.9.1.1, </w:t>
            </w:r>
            <w:r w:rsidR="0075225B" w:rsidRPr="0075225B">
              <w:rPr>
                <w:rFonts w:ascii="Arial" w:hAnsi="Arial" w:cs="Arial"/>
                <w:noProof/>
                <w:lang w:val="en-US"/>
              </w:rPr>
              <w:t>4.11.1.2.2.1</w:t>
            </w:r>
            <w:r w:rsidR="0075225B" w:rsidRPr="0075225B">
              <w:rPr>
                <w:rFonts w:ascii="Arial" w:hAnsi="Arial" w:cs="Arial"/>
                <w:noProof/>
                <w:lang w:val="en-US"/>
              </w:rPr>
              <w:tab/>
            </w:r>
          </w:p>
        </w:tc>
      </w:tr>
      <w:tr w:rsidR="00D54FA1" w:rsidRPr="00D54FA1" w14:paraId="3ED86387" w14:textId="77777777" w:rsidTr="00C6677F">
        <w:tc>
          <w:tcPr>
            <w:tcW w:w="2694" w:type="dxa"/>
            <w:gridSpan w:val="2"/>
            <w:tcBorders>
              <w:left w:val="single" w:sz="4" w:space="0" w:color="auto"/>
            </w:tcBorders>
          </w:tcPr>
          <w:p w14:paraId="167CBC8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A5876F5" w14:textId="77777777" w:rsidR="00D54FA1" w:rsidRPr="00D54FA1" w:rsidRDefault="00D54FA1" w:rsidP="00D54FA1">
            <w:pPr>
              <w:spacing w:after="0"/>
              <w:rPr>
                <w:rFonts w:ascii="Arial" w:hAnsi="Arial" w:cs="Arial"/>
                <w:noProof/>
                <w:sz w:val="8"/>
                <w:szCs w:val="8"/>
                <w:lang w:val="en-US"/>
              </w:rPr>
            </w:pPr>
          </w:p>
        </w:tc>
      </w:tr>
      <w:tr w:rsidR="00D54FA1" w:rsidRPr="00D54FA1" w14:paraId="46000404" w14:textId="77777777" w:rsidTr="00C6677F">
        <w:tc>
          <w:tcPr>
            <w:tcW w:w="2694" w:type="dxa"/>
            <w:gridSpan w:val="2"/>
            <w:tcBorders>
              <w:left w:val="single" w:sz="4" w:space="0" w:color="auto"/>
            </w:tcBorders>
          </w:tcPr>
          <w:p w14:paraId="0E6F19AC"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3896F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4D73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21C0AC5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79FBC19" w14:textId="77777777" w:rsidR="00D54FA1" w:rsidRPr="00D54FA1" w:rsidRDefault="00D54FA1" w:rsidP="00D54FA1">
            <w:pPr>
              <w:spacing w:after="0"/>
              <w:ind w:left="99"/>
              <w:rPr>
                <w:rFonts w:ascii="Arial" w:hAnsi="Arial" w:cs="Arial"/>
                <w:noProof/>
                <w:lang w:val="en-US"/>
              </w:rPr>
            </w:pPr>
          </w:p>
        </w:tc>
      </w:tr>
      <w:tr w:rsidR="00D54FA1" w:rsidRPr="00D54FA1" w14:paraId="01DC2936" w14:textId="77777777" w:rsidTr="00C6677F">
        <w:tc>
          <w:tcPr>
            <w:tcW w:w="2694" w:type="dxa"/>
            <w:gridSpan w:val="2"/>
            <w:tcBorders>
              <w:left w:val="single" w:sz="4" w:space="0" w:color="auto"/>
            </w:tcBorders>
          </w:tcPr>
          <w:p w14:paraId="09A6EDE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400EE8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EC2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42EE9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6D0586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17094A2" w14:textId="77777777" w:rsidTr="00C6677F">
        <w:tc>
          <w:tcPr>
            <w:tcW w:w="2694" w:type="dxa"/>
            <w:gridSpan w:val="2"/>
            <w:tcBorders>
              <w:left w:val="single" w:sz="4" w:space="0" w:color="auto"/>
            </w:tcBorders>
          </w:tcPr>
          <w:p w14:paraId="76259C2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BE4BCC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B97E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6E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78A587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5FE32E1" w14:textId="77777777" w:rsidTr="00C6677F">
        <w:tc>
          <w:tcPr>
            <w:tcW w:w="2694" w:type="dxa"/>
            <w:gridSpan w:val="2"/>
            <w:tcBorders>
              <w:left w:val="single" w:sz="4" w:space="0" w:color="auto"/>
            </w:tcBorders>
          </w:tcPr>
          <w:p w14:paraId="07030F0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B6442E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7D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35FD9F"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B4F8DC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402F2E3" w14:textId="77777777" w:rsidTr="00C6677F">
        <w:tc>
          <w:tcPr>
            <w:tcW w:w="2694" w:type="dxa"/>
            <w:gridSpan w:val="2"/>
            <w:tcBorders>
              <w:left w:val="single" w:sz="4" w:space="0" w:color="auto"/>
            </w:tcBorders>
          </w:tcPr>
          <w:p w14:paraId="23F2AEB1"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02484AF" w14:textId="77777777" w:rsidR="00D54FA1" w:rsidRPr="00D54FA1" w:rsidRDefault="00D54FA1" w:rsidP="00D54FA1">
            <w:pPr>
              <w:spacing w:after="0"/>
              <w:rPr>
                <w:rFonts w:ascii="Arial" w:hAnsi="Arial" w:cs="Arial"/>
                <w:noProof/>
                <w:lang w:val="en-US"/>
              </w:rPr>
            </w:pPr>
          </w:p>
        </w:tc>
      </w:tr>
      <w:tr w:rsidR="00D54FA1" w:rsidRPr="00D54FA1" w14:paraId="54B7591D" w14:textId="77777777" w:rsidTr="00C6677F">
        <w:tc>
          <w:tcPr>
            <w:tcW w:w="2694" w:type="dxa"/>
            <w:gridSpan w:val="2"/>
            <w:tcBorders>
              <w:left w:val="single" w:sz="4" w:space="0" w:color="auto"/>
              <w:bottom w:val="single" w:sz="4" w:space="0" w:color="auto"/>
            </w:tcBorders>
          </w:tcPr>
          <w:p w14:paraId="002CA29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B674B0F" w14:textId="77777777" w:rsidR="00D54FA1" w:rsidRPr="00D54FA1" w:rsidRDefault="00D54FA1" w:rsidP="00D54FA1">
            <w:pPr>
              <w:spacing w:after="0"/>
              <w:ind w:left="100"/>
              <w:rPr>
                <w:rFonts w:ascii="Arial" w:hAnsi="Arial" w:cs="Arial"/>
                <w:noProof/>
                <w:lang w:val="en-US"/>
              </w:rPr>
            </w:pPr>
          </w:p>
        </w:tc>
      </w:tr>
      <w:tr w:rsidR="00D54FA1" w:rsidRPr="00D54FA1" w14:paraId="50D0A248" w14:textId="77777777" w:rsidTr="00C6677F">
        <w:tc>
          <w:tcPr>
            <w:tcW w:w="2694" w:type="dxa"/>
            <w:gridSpan w:val="2"/>
            <w:tcBorders>
              <w:top w:val="single" w:sz="4" w:space="0" w:color="auto"/>
              <w:bottom w:val="single" w:sz="4" w:space="0" w:color="auto"/>
            </w:tcBorders>
          </w:tcPr>
          <w:p w14:paraId="18E28D8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5BF4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567F3748" w14:textId="77777777" w:rsidTr="00C6677F">
        <w:tc>
          <w:tcPr>
            <w:tcW w:w="2694" w:type="dxa"/>
            <w:gridSpan w:val="2"/>
            <w:tcBorders>
              <w:top w:val="single" w:sz="4" w:space="0" w:color="auto"/>
              <w:left w:val="single" w:sz="4" w:space="0" w:color="auto"/>
              <w:bottom w:val="single" w:sz="4" w:space="0" w:color="auto"/>
            </w:tcBorders>
          </w:tcPr>
          <w:p w14:paraId="6EEE911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7054" w14:textId="77777777" w:rsidR="00D54FA1" w:rsidRPr="00D54FA1" w:rsidRDefault="00D54FA1" w:rsidP="00D54FA1">
            <w:pPr>
              <w:spacing w:after="0"/>
              <w:ind w:left="100"/>
              <w:rPr>
                <w:rFonts w:ascii="Arial" w:hAnsi="Arial" w:cs="Arial"/>
                <w:noProof/>
              </w:rPr>
            </w:pPr>
          </w:p>
        </w:tc>
      </w:tr>
    </w:tbl>
    <w:p w14:paraId="6978AD28" w14:textId="77777777" w:rsidR="00D54FA1" w:rsidRPr="00D54FA1" w:rsidRDefault="00D54FA1" w:rsidP="00D54FA1">
      <w:pPr>
        <w:spacing w:after="0"/>
        <w:rPr>
          <w:rFonts w:ascii="Arial" w:hAnsi="Arial" w:cs="Arial"/>
          <w:noProof/>
          <w:sz w:val="8"/>
          <w:szCs w:val="8"/>
        </w:rPr>
      </w:pPr>
    </w:p>
    <w:p w14:paraId="5597B5DD" w14:textId="77777777" w:rsidR="00D54FA1" w:rsidRPr="00D54FA1" w:rsidRDefault="00D54FA1" w:rsidP="00D54FA1">
      <w:pPr>
        <w:spacing w:after="0"/>
        <w:rPr>
          <w:rFonts w:ascii="Arial" w:hAnsi="Arial" w:cs="Arial"/>
          <w:noProof/>
          <w:sz w:val="8"/>
          <w:szCs w:val="8"/>
        </w:rPr>
      </w:pPr>
    </w:p>
    <w:p w14:paraId="3828D36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143C4E8"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6FE5B69E" w14:textId="77777777" w:rsidR="00F86778" w:rsidRPr="00140E21" w:rsidRDefault="00F86778" w:rsidP="00F86778">
      <w:pPr>
        <w:pStyle w:val="Heading3"/>
      </w:pPr>
      <w:bookmarkStart w:id="11" w:name="_Toc20204033"/>
      <w:bookmarkStart w:id="12" w:name="_Toc27894720"/>
      <w:bookmarkStart w:id="13" w:name="_Toc36191787"/>
      <w:bookmarkStart w:id="14" w:name="_Toc45192873"/>
      <w:bookmarkStart w:id="15" w:name="_Toc47592505"/>
      <w:bookmarkStart w:id="16" w:name="_Toc51834586"/>
      <w:bookmarkStart w:id="17" w:name="_Toc122442066"/>
      <w:r w:rsidRPr="00140E21">
        <w:rPr>
          <w:lang w:eastAsia="ko-KR"/>
        </w:rPr>
        <w:t>4.9.1</w:t>
      </w:r>
      <w:r w:rsidRPr="00140E21">
        <w:rPr>
          <w:lang w:eastAsia="ko-KR"/>
        </w:rPr>
        <w:tab/>
        <w:t>Handover procedures in 3GPP access</w:t>
      </w:r>
      <w:bookmarkEnd w:id="11"/>
      <w:bookmarkEnd w:id="12"/>
      <w:bookmarkEnd w:id="13"/>
      <w:bookmarkEnd w:id="14"/>
      <w:bookmarkEnd w:id="15"/>
      <w:bookmarkEnd w:id="16"/>
      <w:bookmarkEnd w:id="17"/>
    </w:p>
    <w:p w14:paraId="5A9BD065" w14:textId="77777777" w:rsidR="00F86778" w:rsidRPr="00140E21" w:rsidRDefault="00F86778" w:rsidP="00F86778">
      <w:pPr>
        <w:pStyle w:val="Heading4"/>
      </w:pPr>
      <w:bookmarkStart w:id="18" w:name="_Toc20204034"/>
      <w:bookmarkStart w:id="19" w:name="_Toc27894721"/>
      <w:bookmarkStart w:id="20" w:name="_Toc36191788"/>
      <w:bookmarkStart w:id="21" w:name="_Toc45192874"/>
      <w:bookmarkStart w:id="22" w:name="_Toc47592506"/>
      <w:bookmarkStart w:id="23" w:name="_Toc51834587"/>
      <w:bookmarkStart w:id="24" w:name="_Toc122442067"/>
      <w:r w:rsidRPr="00140E21">
        <w:t>4.9.1.1</w:t>
      </w:r>
      <w:r w:rsidRPr="00140E21">
        <w:tab/>
        <w:t>General</w:t>
      </w:r>
      <w:bookmarkEnd w:id="18"/>
      <w:bookmarkEnd w:id="19"/>
      <w:bookmarkEnd w:id="20"/>
      <w:bookmarkEnd w:id="21"/>
      <w:bookmarkEnd w:id="22"/>
      <w:bookmarkEnd w:id="23"/>
      <w:bookmarkEnd w:id="24"/>
    </w:p>
    <w:p w14:paraId="26969C6B" w14:textId="77777777" w:rsidR="00F86778" w:rsidRPr="00140E21" w:rsidRDefault="00F86778" w:rsidP="00F86778">
      <w:r w:rsidRPr="00140E21">
        <w:t xml:space="preserve">These procedures are used to hand over a UE from a source NG-RAN node to a target NG-RAN node using the Xn or N2 reference points. This can be triggered, for example, due to new radio conditions, load balancing or due to specific service </w:t>
      </w:r>
      <w:proofErr w:type="gramStart"/>
      <w:r w:rsidRPr="00140E21">
        <w:t>e.g.</w:t>
      </w:r>
      <w:proofErr w:type="gramEnd"/>
      <w:r w:rsidRPr="00140E21">
        <w:t xml:space="preserve"> in the presence of QoS Flow for voice, the source NG-RAN node being NR may trigger handover to E-UTRA connected to 5GC.</w:t>
      </w:r>
    </w:p>
    <w:p w14:paraId="7AFB73A8" w14:textId="77777777" w:rsidR="00F86778" w:rsidRDefault="00F86778" w:rsidP="00F86778">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1B90FC7A" w14:textId="77777777" w:rsidR="00F86778" w:rsidRDefault="00F86778" w:rsidP="00F86778">
      <w:r>
        <w:t>The Inter NG-RAN node N2 based handover procedure specified in clause 4.9.1.3 may also be used for intra-NG-RAN node handover.</w:t>
      </w:r>
    </w:p>
    <w:p w14:paraId="2432A552" w14:textId="77777777" w:rsidR="00F86778" w:rsidRDefault="00F86778" w:rsidP="00F86778">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45FCFBD4" w14:textId="77777777" w:rsidR="00F86778" w:rsidRDefault="00F86778" w:rsidP="00F86778">
      <w:r w:rsidRPr="00140E21">
        <w:t xml:space="preserve">The RRC Inactive Assistance Information is included in N2 Path Switch Request Ack message for Xn based handover or Handover Request message for N2 based handover (see clause 5.3.3.2.5 </w:t>
      </w:r>
      <w:r>
        <w:t>of</w:t>
      </w:r>
      <w:r w:rsidRPr="00140E21">
        <w:t xml:space="preserve"> TS</w:t>
      </w:r>
      <w:r>
        <w:t> </w:t>
      </w:r>
      <w:r w:rsidRPr="00140E21">
        <w:t>23.501</w:t>
      </w:r>
      <w:r>
        <w:t> </w:t>
      </w:r>
      <w:r w:rsidRPr="00140E21">
        <w:t>[2]).</w:t>
      </w:r>
    </w:p>
    <w:p w14:paraId="1555C0F8" w14:textId="77777777" w:rsidR="00F86778" w:rsidRDefault="00F86778" w:rsidP="00F86778">
      <w:pPr>
        <w:rPr>
          <w:ins w:id="25" w:author="Haris Zisimopoulos" w:date="2023-02-09T20:22:00Z"/>
          <w:lang w:eastAsia="ko-KR"/>
        </w:rPr>
      </w:pPr>
      <w:ins w:id="26" w:author="Haris Zisimopoulos" w:date="2023-02-09T20:22:00Z">
        <w:r>
          <w:rPr>
            <w:lang w:eastAsia="ko-KR"/>
          </w:rPr>
          <w:t xml:space="preserve">For handover within 5GS, when </w:t>
        </w:r>
      </w:ins>
      <w:ins w:id="27" w:author="Haris Zisimopoulos" w:date="2023-02-09T20:23:00Z">
        <w:r>
          <w:rPr>
            <w:lang w:eastAsia="ko-KR"/>
          </w:rPr>
          <w:t>UE</w:t>
        </w:r>
      </w:ins>
      <w:ins w:id="28" w:author="Haris Zisimopoulos" w:date="2023-02-09T20:22:00Z">
        <w:r>
          <w:rPr>
            <w:lang w:eastAsia="ko-KR"/>
          </w:rPr>
          <w:t xml:space="preserve"> supports</w:t>
        </w:r>
      </w:ins>
      <w:ins w:id="29" w:author="Haris Zisimopoulos" w:date="2023-02-09T20:24:00Z">
        <w:r>
          <w:rPr>
            <w:lang w:eastAsia="ko-KR"/>
          </w:rPr>
          <w:t xml:space="preserve"> the</w:t>
        </w:r>
      </w:ins>
      <w:ins w:id="30" w:author="Haris Zisimopoulos" w:date="2023-02-09T20:23:00Z">
        <w:r>
          <w:rPr>
            <w:lang w:eastAsia="ko-KR"/>
          </w:rPr>
          <w:t xml:space="preserve"> E-UTRA </w:t>
        </w:r>
      </w:ins>
      <w:ins w:id="31" w:author="Haris Zisimopoulos" w:date="2023-02-09T20:22:00Z">
        <w:r w:rsidRPr="00692F77">
          <w:rPr>
            <w:lang w:eastAsia="ko-KR"/>
          </w:rPr>
          <w:t>NTN enhancements defined in TS 3</w:t>
        </w:r>
      </w:ins>
      <w:ins w:id="32" w:author="Haris Zisimopoulos" w:date="2023-02-09T20:24:00Z">
        <w:r>
          <w:rPr>
            <w:lang w:eastAsia="ko-KR"/>
          </w:rPr>
          <w:t>6</w:t>
        </w:r>
      </w:ins>
      <w:ins w:id="33" w:author="Haris Zisimopoulos" w:date="2023-02-09T20:22:00Z">
        <w:r w:rsidRPr="00692F77">
          <w:rPr>
            <w:lang w:eastAsia="ko-KR"/>
          </w:rPr>
          <w:t>.300 [</w:t>
        </w:r>
      </w:ins>
      <w:ins w:id="34" w:author="Haris Zisimopoulos" w:date="2023-02-09T20:24:00Z">
        <w:r>
          <w:rPr>
            <w:lang w:eastAsia="ko-KR"/>
          </w:rPr>
          <w:t>46</w:t>
        </w:r>
      </w:ins>
      <w:proofErr w:type="gramStart"/>
      <w:ins w:id="35" w:author="Haris Zisimopoulos" w:date="2023-02-09T20:22:00Z">
        <w:r w:rsidRPr="00692F77">
          <w:rPr>
            <w:lang w:eastAsia="ko-KR"/>
          </w:rPr>
          <w:t>]</w:t>
        </w:r>
        <w:r>
          <w:rPr>
            <w:lang w:eastAsia="ko-KR"/>
          </w:rPr>
          <w:t xml:space="preserve">  the</w:t>
        </w:r>
        <w:proofErr w:type="gramEnd"/>
        <w:r>
          <w:rPr>
            <w:lang w:eastAsia="ko-KR"/>
          </w:rPr>
          <w:t xml:space="preserve"> following applies related to handling of radio capabilities: </w:t>
        </w:r>
      </w:ins>
    </w:p>
    <w:p w14:paraId="15D8B27A" w14:textId="77777777" w:rsidR="00F86778" w:rsidRPr="00140E21" w:rsidRDefault="00F86778">
      <w:pPr>
        <w:pStyle w:val="B1"/>
        <w:pPrChange w:id="36" w:author="Haris Zisimopoulos" w:date="2023-02-09T20:23:00Z">
          <w:pPr/>
        </w:pPrChange>
      </w:pPr>
      <w:ins w:id="37" w:author="Haris Zisimopoulos" w:date="2023-02-09T20:23:00Z">
        <w:r>
          <w:t>-</w:t>
        </w:r>
        <w:r>
          <w:tab/>
        </w:r>
      </w:ins>
      <w:ins w:id="38" w:author="Haris Zisimopoulos" w:date="2023-02-09T20:21:00Z">
        <w:r w:rsidRPr="00F86778">
          <w:t>If the target NG-RAN node knows (e.g. by configuration) that the UE’s E-UTRA radio capabilities applicable to the target NG-RAN node may be different to the E-UTRA radio capabilities stored in the source NG-RAN node (e.g. for handover from an gNodeB source RAN node that supports the NTN enhancements as defined in TS 38.300 [</w:t>
        </w:r>
        <w:r>
          <w:t>9</w:t>
        </w:r>
        <w:r w:rsidRPr="00F86778">
          <w:t>]), then the target E-UTRA NG-RAN node shall trigger retrieval of the radio capability information again from the UE to use E-UTRA radio capabilities.</w:t>
        </w:r>
      </w:ins>
    </w:p>
    <w:p w14:paraId="3543B7A1" w14:textId="77777777"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1E87601"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E03C806"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021D68D9" w14:textId="77777777" w:rsidR="007E523E" w:rsidRPr="00140E21" w:rsidRDefault="007E523E" w:rsidP="007E523E">
      <w:pPr>
        <w:rPr>
          <w:lang w:eastAsia="zh-CN"/>
        </w:rPr>
      </w:pPr>
      <w:r w:rsidRPr="00140E21">
        <w:rPr>
          <w:lang w:eastAsia="zh-CN"/>
        </w:rPr>
        <w:t>The procedure involves a handover to 5GS and setup of QoS Flows in 5GS.</w:t>
      </w:r>
    </w:p>
    <w:p w14:paraId="3D4C0F12"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29EAEEE6"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34DBB15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6B302562"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1171052"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5CD9ED08" w14:textId="77777777" w:rsidR="007E523E" w:rsidRPr="00140E21" w:rsidRDefault="007E523E" w:rsidP="007E523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2F67448B" w14:textId="77777777" w:rsidR="00692F77" w:rsidRDefault="00692F77" w:rsidP="00692F77">
      <w:pPr>
        <w:rPr>
          <w:ins w:id="39" w:author="Qualcomm-HZ-154" w:date="2023-01-03T15:42:00Z"/>
          <w:lang w:eastAsia="ko-KR"/>
        </w:rPr>
      </w:pPr>
      <w:ins w:id="40" w:author="Qualcomm-HZ-154" w:date="2023-01-03T15:42:00Z">
        <w:r>
          <w:rPr>
            <w:lang w:eastAsia="ko-KR"/>
          </w:rPr>
          <w:t>For handover from EPS to 5GS</w:t>
        </w:r>
      </w:ins>
      <w:ins w:id="41" w:author="Qualcomm-HZ-154" w:date="2023-01-03T15:43:00Z">
        <w:r>
          <w:rPr>
            <w:lang w:eastAsia="ko-KR"/>
          </w:rPr>
          <w:t xml:space="preserve">, when E-UTRAN supports </w:t>
        </w:r>
        <w:r w:rsidRPr="00692F77">
          <w:rPr>
            <w:lang w:eastAsia="ko-KR"/>
          </w:rPr>
          <w:t>the NTN enhancements defined in TS 36.300 [</w:t>
        </w:r>
      </w:ins>
      <w:ins w:id="42" w:author="Qualcomm-HZ-154" w:date="2023-01-03T15:44:00Z">
        <w:r>
          <w:rPr>
            <w:lang w:eastAsia="ko-KR"/>
          </w:rPr>
          <w:t>46</w:t>
        </w:r>
      </w:ins>
      <w:proofErr w:type="gramStart"/>
      <w:ins w:id="43" w:author="Qualcomm-HZ-154" w:date="2023-01-03T15:43:00Z">
        <w:r w:rsidRPr="00692F77">
          <w:rPr>
            <w:lang w:eastAsia="ko-KR"/>
          </w:rPr>
          <w:t>]</w:t>
        </w:r>
      </w:ins>
      <w:ins w:id="44" w:author="Qualcomm-HZ-154" w:date="2023-01-03T15:42:00Z">
        <w:r>
          <w:rPr>
            <w:lang w:eastAsia="ko-KR"/>
          </w:rPr>
          <w:t xml:space="preserve">  the</w:t>
        </w:r>
        <w:proofErr w:type="gramEnd"/>
        <w:r>
          <w:rPr>
            <w:lang w:eastAsia="ko-KR"/>
          </w:rPr>
          <w:t xml:space="preserve"> following applies related to handling of radio capabilities: </w:t>
        </w:r>
      </w:ins>
    </w:p>
    <w:p w14:paraId="27BD4CE8" w14:textId="77777777" w:rsidR="00692F77" w:rsidRDefault="00692F77">
      <w:pPr>
        <w:pStyle w:val="B1"/>
        <w:rPr>
          <w:ins w:id="45" w:author="Qualcomm-HZ-154" w:date="2023-01-03T15:42:00Z"/>
          <w:lang w:eastAsia="ko-KR"/>
        </w:rPr>
        <w:pPrChange w:id="46" w:author="Qualcomm-HZ-154" w:date="2023-01-17T10:54:00Z">
          <w:pPr/>
        </w:pPrChange>
      </w:pPr>
      <w:ins w:id="47" w:author="Qualcomm-HZ-154" w:date="2023-01-03T15:42:00Z">
        <w:r>
          <w:rPr>
            <w:lang w:eastAsia="ko-KR"/>
          </w:rPr>
          <w:t>-</w:t>
        </w:r>
        <w:r>
          <w:rPr>
            <w:lang w:eastAsia="ko-KR"/>
          </w:rPr>
          <w:tab/>
          <w:t xml:space="preserve">If the target </w:t>
        </w:r>
      </w:ins>
      <w:ins w:id="48" w:author="Qualcomm-HZ-154" w:date="2023-01-03T15:44:00Z">
        <w:r>
          <w:rPr>
            <w:lang w:eastAsia="ko-KR"/>
          </w:rPr>
          <w:t>NG-RAN node</w:t>
        </w:r>
      </w:ins>
      <w:ins w:id="49" w:author="Qualcomm-HZ-154" w:date="2023-01-03T15:42:00Z">
        <w:r>
          <w:rPr>
            <w:lang w:eastAsia="ko-KR"/>
          </w:rPr>
          <w:t xml:space="preserve"> knows (e.g. by configuration) that the UE’s E-UTRA radio capabilities applicable to the target </w:t>
        </w:r>
      </w:ins>
      <w:ins w:id="50" w:author="Qualcomm-HZ-154" w:date="2023-01-03T15:44:00Z">
        <w:r>
          <w:rPr>
            <w:lang w:eastAsia="ko-KR"/>
          </w:rPr>
          <w:t>NG</w:t>
        </w:r>
      </w:ins>
      <w:ins w:id="51" w:author="Qualcomm-HZ-154" w:date="2023-01-03T15:45:00Z">
        <w:r>
          <w:rPr>
            <w:lang w:eastAsia="ko-KR"/>
          </w:rPr>
          <w:t>-RAN node</w:t>
        </w:r>
      </w:ins>
      <w:ins w:id="52" w:author="Qualcomm-HZ-154" w:date="2023-01-03T15:42:00Z">
        <w:r>
          <w:rPr>
            <w:lang w:eastAsia="ko-KR"/>
          </w:rPr>
          <w:t xml:space="preserve"> may be different to the E-UTRA radio capabilities stored in the source eNodeB (e.g. for handover from an eNodeB that supports the NTN enhancements as defined in TS 36.300 [</w:t>
        </w:r>
      </w:ins>
      <w:ins w:id="53" w:author="Qualcomm-HZ-154" w:date="2023-01-03T15:45:00Z">
        <w:r>
          <w:rPr>
            <w:lang w:eastAsia="ko-KR"/>
          </w:rPr>
          <w:t>46</w:t>
        </w:r>
      </w:ins>
      <w:ins w:id="54" w:author="Qualcomm-HZ-154" w:date="2023-01-03T15:42:00Z">
        <w:r>
          <w:rPr>
            <w:lang w:eastAsia="ko-KR"/>
          </w:rPr>
          <w:t xml:space="preserve">]), then the target </w:t>
        </w:r>
      </w:ins>
      <w:ins w:id="55" w:author="Qualcomm-HZ-154" w:date="2023-01-03T15:45:00Z">
        <w:r>
          <w:rPr>
            <w:lang w:eastAsia="ko-KR"/>
          </w:rPr>
          <w:t>NG-RAN node</w:t>
        </w:r>
      </w:ins>
      <w:ins w:id="56" w:author="Qualcomm-HZ-154" w:date="2023-01-03T15:42:00Z">
        <w:r>
          <w:rPr>
            <w:lang w:eastAsia="ko-KR"/>
          </w:rPr>
          <w:t xml:space="preserve"> shall trigger retrieval of the radio capability information again from the UE.</w:t>
        </w:r>
      </w:ins>
    </w:p>
    <w:p w14:paraId="243C33E7" w14:textId="77777777" w:rsidR="00EE3E0E" w:rsidRDefault="00EE3E0E" w:rsidP="00EE3E0E">
      <w:pPr>
        <w:rPr>
          <w:ins w:id="57" w:author="Qualcomm-HZ-155" w:date="2023-02-06T11:54:00Z"/>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ins w:id="64" w:author="Qualcomm-HZ-155" w:date="2023-02-06T11:54:00Z">
        <w:r>
          <w:rPr>
            <w:lang w:eastAsia="ko-KR"/>
          </w:rPr>
          <w:t xml:space="preserve">For handover from 5GS to EPS, when E-UTRA supports </w:t>
        </w:r>
        <w:r w:rsidRPr="00692F77">
          <w:rPr>
            <w:lang w:eastAsia="ko-KR"/>
          </w:rPr>
          <w:t>the NTN enhancements defined in TS 36.300 [</w:t>
        </w:r>
        <w:r>
          <w:rPr>
            <w:lang w:eastAsia="ko-KR"/>
          </w:rPr>
          <w:t>46</w:t>
        </w:r>
        <w:proofErr w:type="gramStart"/>
        <w:r w:rsidRPr="00692F77">
          <w:rPr>
            <w:lang w:eastAsia="ko-KR"/>
          </w:rPr>
          <w:t>]</w:t>
        </w:r>
        <w:r>
          <w:rPr>
            <w:lang w:eastAsia="ko-KR"/>
          </w:rPr>
          <w:t xml:space="preserve">  the</w:t>
        </w:r>
        <w:proofErr w:type="gramEnd"/>
        <w:r>
          <w:rPr>
            <w:lang w:eastAsia="ko-KR"/>
          </w:rPr>
          <w:t xml:space="preserve"> following applies related to handling of radio capabilities: </w:t>
        </w:r>
      </w:ins>
    </w:p>
    <w:p w14:paraId="349FF3AB" w14:textId="77777777" w:rsidR="00EE3E0E" w:rsidRDefault="00EE3E0E" w:rsidP="00EE3E0E">
      <w:pPr>
        <w:pStyle w:val="B1"/>
        <w:rPr>
          <w:ins w:id="65" w:author="Qualcomm-HZ-155" w:date="2023-02-06T11:54:00Z"/>
          <w:lang w:eastAsia="ko-KR"/>
        </w:rPr>
      </w:pPr>
      <w:ins w:id="66" w:author="Qualcomm-HZ-155" w:date="2023-02-06T11:54:00Z">
        <w:r>
          <w:rPr>
            <w:lang w:eastAsia="ko-KR"/>
          </w:rPr>
          <w:t>-</w:t>
        </w:r>
        <w:r>
          <w:rPr>
            <w:lang w:eastAsia="ko-KR"/>
          </w:rPr>
          <w:tab/>
          <w:t xml:space="preserve">If the target </w:t>
        </w:r>
      </w:ins>
      <w:ins w:id="67" w:author="Qualcomm-HZ-155" w:date="2023-02-06T11:55:00Z">
        <w:r>
          <w:rPr>
            <w:lang w:eastAsia="ko-KR"/>
          </w:rPr>
          <w:t>eNodeB</w:t>
        </w:r>
      </w:ins>
      <w:ins w:id="68" w:author="Qualcomm-HZ-155" w:date="2023-02-06T11:54:00Z">
        <w:r>
          <w:rPr>
            <w:lang w:eastAsia="ko-KR"/>
          </w:rPr>
          <w:t xml:space="preserve"> node knows (e.g. by configuration) that the UE’s E-UTRA radio capabilities applicable to the target </w:t>
        </w:r>
      </w:ins>
      <w:ins w:id="69" w:author="Qualcomm-HZ-155" w:date="2023-02-06T11:55:00Z">
        <w:r>
          <w:rPr>
            <w:lang w:eastAsia="ko-KR"/>
          </w:rPr>
          <w:t>eNodeB</w:t>
        </w:r>
      </w:ins>
      <w:ins w:id="70" w:author="Qualcomm-HZ-155" w:date="2023-02-06T11:54:00Z">
        <w:r>
          <w:rPr>
            <w:lang w:eastAsia="ko-KR"/>
          </w:rPr>
          <w:t xml:space="preserve"> may be different to the E-UTRA radio capabilities stored in the source </w:t>
        </w:r>
      </w:ins>
      <w:ins w:id="71" w:author="Qualcomm-HZ-155" w:date="2023-02-06T11:55:00Z">
        <w:r>
          <w:rPr>
            <w:lang w:eastAsia="ko-KR"/>
          </w:rPr>
          <w:t>NG-RAN node</w:t>
        </w:r>
      </w:ins>
      <w:ins w:id="72" w:author="Qualcomm-HZ-155" w:date="2023-02-06T11:54:00Z">
        <w:r>
          <w:rPr>
            <w:lang w:eastAsia="ko-KR"/>
          </w:rPr>
          <w:t xml:space="preserve"> (e.g. for handover </w:t>
        </w:r>
      </w:ins>
      <w:ins w:id="73" w:author="Qualcomm-HZ-155" w:date="2023-02-06T11:55:00Z">
        <w:r>
          <w:rPr>
            <w:lang w:eastAsia="ko-KR"/>
          </w:rPr>
          <w:t>to</w:t>
        </w:r>
      </w:ins>
      <w:ins w:id="74" w:author="Qualcomm-HZ-155" w:date="2023-02-06T11:54:00Z">
        <w:r>
          <w:rPr>
            <w:lang w:eastAsia="ko-KR"/>
          </w:rPr>
          <w:t xml:space="preserve"> eNodeB that supports the NTN enhancements as defined in TS 36.300 [46]), then the target </w:t>
        </w:r>
      </w:ins>
      <w:ins w:id="75" w:author="Qualcomm-HZ-155" w:date="2023-02-06T11:56:00Z">
        <w:r>
          <w:rPr>
            <w:lang w:eastAsia="ko-KR"/>
          </w:rPr>
          <w:t>eNodeB</w:t>
        </w:r>
      </w:ins>
      <w:ins w:id="76" w:author="Qualcomm-HZ-155" w:date="2023-02-06T11:54:00Z">
        <w:r>
          <w:rPr>
            <w:lang w:eastAsia="ko-KR"/>
          </w:rPr>
          <w:t xml:space="preserve"> shall trigger retrieval of the radio capability information again from the UE.</w:t>
        </w:r>
      </w:ins>
    </w:p>
    <w:p w14:paraId="7753BD49" w14:textId="77777777" w:rsidR="00DB481D" w:rsidRPr="00FC7455" w:rsidRDefault="00DB481D" w:rsidP="00DB481D">
      <w:pPr>
        <w:rPr>
          <w:lang w:eastAsia="ko-KR"/>
        </w:rPr>
      </w:pPr>
    </w:p>
    <w:bookmarkEnd w:id="8"/>
    <w:bookmarkEnd w:id="9"/>
    <w:bookmarkEnd w:id="10"/>
    <w:bookmarkEnd w:id="58"/>
    <w:bookmarkEnd w:id="59"/>
    <w:bookmarkEnd w:id="60"/>
    <w:bookmarkEnd w:id="61"/>
    <w:bookmarkEnd w:id="62"/>
    <w:bookmarkEnd w:id="63"/>
    <w:p w14:paraId="6291956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D012" w14:textId="77777777" w:rsidR="007D3E05" w:rsidRDefault="007D3E05">
      <w:r>
        <w:separator/>
      </w:r>
    </w:p>
  </w:endnote>
  <w:endnote w:type="continuationSeparator" w:id="0">
    <w:p w14:paraId="55597332" w14:textId="77777777" w:rsidR="007D3E05" w:rsidRDefault="007D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63EE"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6775" w14:textId="77777777" w:rsidR="007D3E05" w:rsidRDefault="007D3E05">
      <w:r>
        <w:separator/>
      </w:r>
    </w:p>
  </w:footnote>
  <w:footnote w:type="continuationSeparator" w:id="0">
    <w:p w14:paraId="11950259" w14:textId="77777777" w:rsidR="007D3E05" w:rsidRDefault="007D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CE3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A2B2" w14:textId="7777777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4F0B"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33844AB" w14:textId="7777777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F2EB6"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341369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491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753088">
    <w:abstractNumId w:val="10"/>
  </w:num>
  <w:num w:numId="4" w16cid:durableId="1537083067">
    <w:abstractNumId w:val="13"/>
  </w:num>
  <w:num w:numId="5" w16cid:durableId="1377242403">
    <w:abstractNumId w:val="14"/>
  </w:num>
  <w:num w:numId="6" w16cid:durableId="655378682">
    <w:abstractNumId w:val="15"/>
  </w:num>
  <w:num w:numId="7" w16cid:durableId="1795443326">
    <w:abstractNumId w:val="16"/>
  </w:num>
  <w:num w:numId="8" w16cid:durableId="339048111">
    <w:abstractNumId w:val="8"/>
  </w:num>
  <w:num w:numId="9" w16cid:durableId="1450469903">
    <w:abstractNumId w:val="7"/>
  </w:num>
  <w:num w:numId="10" w16cid:durableId="9614">
    <w:abstractNumId w:val="6"/>
  </w:num>
  <w:num w:numId="11" w16cid:durableId="1834182539">
    <w:abstractNumId w:val="5"/>
  </w:num>
  <w:num w:numId="12" w16cid:durableId="412123110">
    <w:abstractNumId w:val="4"/>
  </w:num>
  <w:num w:numId="13" w16cid:durableId="1772779987">
    <w:abstractNumId w:val="3"/>
  </w:num>
  <w:num w:numId="14" w16cid:durableId="2001930426">
    <w:abstractNumId w:val="2"/>
  </w:num>
  <w:num w:numId="15" w16cid:durableId="1826118162">
    <w:abstractNumId w:val="1"/>
  </w:num>
  <w:num w:numId="16" w16cid:durableId="661474769">
    <w:abstractNumId w:val="0"/>
  </w:num>
  <w:num w:numId="17" w16cid:durableId="306980559">
    <w:abstractNumId w:val="17"/>
  </w:num>
  <w:num w:numId="18" w16cid:durableId="2083601747">
    <w:abstractNumId w:val="12"/>
  </w:num>
  <w:num w:numId="19" w16cid:durableId="13422748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10D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0057"/>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01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3E6D0"/>
  <w15:chartTrackingRefBased/>
  <w15:docId w15:val="{460FCB8E-2229-4027-9B05-7488396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EF8BB9AE-10FE-4E64-AFEF-D8161DE69C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1336</Words>
  <Characters>7618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8937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cp:revision>
  <dcterms:created xsi:type="dcterms:W3CDTF">2023-04-03T13:47:00Z</dcterms:created>
  <dcterms:modified xsi:type="dcterms:W3CDTF">2023-04-05T19:45:00Z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